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4718" w14:textId="77777777" w:rsidR="00575DD0" w:rsidRDefault="00575DD0">
      <w:pPr>
        <w:rPr>
          <w:rFonts w:ascii="DINPro-Light" w:hAnsi="DINPro-Light"/>
          <w:b/>
          <w:bCs/>
          <w:sz w:val="28"/>
          <w:szCs w:val="28"/>
        </w:rPr>
      </w:pPr>
      <w:bookmarkStart w:id="0" w:name="_GoBack"/>
      <w:bookmarkEnd w:id="0"/>
    </w:p>
    <w:p w14:paraId="09C08EF6" w14:textId="03AF6906" w:rsidR="00575DD0" w:rsidRDefault="00575DD0">
      <w:pPr>
        <w:rPr>
          <w:rFonts w:ascii="DINPro-Light" w:hAnsi="DINPro-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2181A" wp14:editId="7B5CAA6C">
            <wp:simplePos x="0" y="0"/>
            <wp:positionH relativeFrom="margin">
              <wp:align>left</wp:align>
            </wp:positionH>
            <wp:positionV relativeFrom="paragraph">
              <wp:posOffset>4513</wp:posOffset>
            </wp:positionV>
            <wp:extent cx="2514600" cy="16154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6CD76" w14:textId="57DD0C7E" w:rsidR="00575DD0" w:rsidRDefault="00575DD0">
      <w:pPr>
        <w:rPr>
          <w:rFonts w:ascii="DINPro-Light" w:hAnsi="DINPro-Light"/>
          <w:b/>
          <w:bCs/>
          <w:sz w:val="28"/>
          <w:szCs w:val="28"/>
        </w:rPr>
      </w:pPr>
      <w:r>
        <w:rPr>
          <w:rFonts w:ascii="DINPro-Light" w:hAnsi="DINPro-Light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E8A552" wp14:editId="56351D75">
            <wp:simplePos x="0" y="0"/>
            <wp:positionH relativeFrom="margin">
              <wp:align>right</wp:align>
            </wp:positionH>
            <wp:positionV relativeFrom="paragraph">
              <wp:posOffset>5292</wp:posOffset>
            </wp:positionV>
            <wp:extent cx="2680592" cy="992221"/>
            <wp:effectExtent l="0" t="0" r="5715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592" cy="99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027F9" w14:textId="1F205A4D" w:rsidR="00575DD0" w:rsidRDefault="00575DD0">
      <w:pPr>
        <w:rPr>
          <w:rFonts w:ascii="DINPro-Light" w:hAnsi="DINPro-Light"/>
          <w:b/>
          <w:bCs/>
          <w:sz w:val="28"/>
          <w:szCs w:val="28"/>
        </w:rPr>
      </w:pPr>
    </w:p>
    <w:p w14:paraId="642341E7" w14:textId="32BD8271" w:rsidR="00575DD0" w:rsidRDefault="00575DD0">
      <w:pPr>
        <w:rPr>
          <w:rFonts w:ascii="DINPro-Light" w:hAnsi="DINPro-Light"/>
          <w:b/>
          <w:bCs/>
          <w:sz w:val="28"/>
          <w:szCs w:val="28"/>
        </w:rPr>
      </w:pPr>
    </w:p>
    <w:p w14:paraId="2F832835" w14:textId="70358AA7" w:rsidR="00575DD0" w:rsidRDefault="00575DD0">
      <w:pPr>
        <w:rPr>
          <w:rFonts w:ascii="DINPro-Light" w:hAnsi="DINPro-Light"/>
          <w:b/>
          <w:bCs/>
          <w:sz w:val="28"/>
          <w:szCs w:val="28"/>
        </w:rPr>
      </w:pPr>
    </w:p>
    <w:p w14:paraId="18D7D17F" w14:textId="4864A364" w:rsidR="008A0DB7" w:rsidRDefault="008A0DB7" w:rsidP="00575DD0">
      <w:pPr>
        <w:jc w:val="center"/>
        <w:rPr>
          <w:rFonts w:ascii="DINPro-Light" w:hAnsi="DINPro-Light"/>
          <w:b/>
          <w:bCs/>
          <w:sz w:val="28"/>
          <w:szCs w:val="28"/>
        </w:rPr>
      </w:pPr>
      <w:r w:rsidRPr="008A0DB7">
        <w:rPr>
          <w:rFonts w:ascii="DINPro-Light" w:hAnsi="DINPro-Light"/>
          <w:b/>
          <w:bCs/>
          <w:sz w:val="28"/>
          <w:szCs w:val="28"/>
        </w:rPr>
        <w:t>ALTSTOFFSAMMELZENTRUM</w:t>
      </w:r>
      <w:r w:rsidR="00575DD0">
        <w:rPr>
          <w:rFonts w:ascii="DINPro-Light" w:hAnsi="DINPro-Light"/>
          <w:b/>
          <w:bCs/>
          <w:sz w:val="28"/>
          <w:szCs w:val="28"/>
        </w:rPr>
        <w:t xml:space="preserve"> </w:t>
      </w:r>
      <w:r w:rsidRPr="008A0DB7">
        <w:rPr>
          <w:rFonts w:ascii="DINPro-Light" w:hAnsi="DINPro-Light"/>
          <w:b/>
          <w:bCs/>
          <w:sz w:val="28"/>
          <w:szCs w:val="28"/>
        </w:rPr>
        <w:t>HOHENEICH - GMÜND</w:t>
      </w:r>
    </w:p>
    <w:p w14:paraId="613C1A25" w14:textId="1EB5DEB5" w:rsidR="0052258E" w:rsidRDefault="0052258E" w:rsidP="00575DD0">
      <w:pPr>
        <w:jc w:val="center"/>
        <w:rPr>
          <w:rFonts w:ascii="DINPro-Light" w:hAnsi="DINPro-Light"/>
          <w:b/>
          <w:bCs/>
          <w:sz w:val="28"/>
          <w:szCs w:val="28"/>
        </w:rPr>
      </w:pPr>
      <w:r>
        <w:rPr>
          <w:rFonts w:ascii="DINPro-Light" w:hAnsi="DINPro-Light"/>
          <w:b/>
          <w:bCs/>
          <w:sz w:val="28"/>
          <w:szCs w:val="28"/>
        </w:rPr>
        <w:t>BETRIEBSORDNUNG</w:t>
      </w:r>
    </w:p>
    <w:p w14:paraId="40241054" w14:textId="45D899F6" w:rsidR="00742A75" w:rsidRPr="00F74DF3" w:rsidRDefault="001F3F5A" w:rsidP="004E457C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Den Anweisungen des Übernahmepersonals ist Folge zu leisten. Das Personal ist berechtigt, bei Verstößen gegen die Betriebsordnung Personen vom ASZ zu verweisen.</w:t>
      </w:r>
    </w:p>
    <w:p w14:paraId="26CBC076" w14:textId="58A48126" w:rsidR="004E457C" w:rsidRPr="00F74DF3" w:rsidRDefault="001F3F5A" w:rsidP="004E457C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Um einen reibungslosen Betrieb zu gewährleisten, ist nach erfolgter Anlieferung das ASZ so rasch wie möglich zu verlassen.</w:t>
      </w:r>
    </w:p>
    <w:p w14:paraId="614B1D4A" w14:textId="20F0F339" w:rsidR="004E457C" w:rsidRPr="00C6272B" w:rsidRDefault="001F3F5A" w:rsidP="004E457C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 w:rsidRPr="00C6272B">
        <w:rPr>
          <w:rFonts w:ascii="DINPro-Light" w:hAnsi="DINPro-Light"/>
        </w:rPr>
        <w:t xml:space="preserve">Die Sammlung von Abfällen im ASZ ist entsprechend dem </w:t>
      </w:r>
      <w:r w:rsidR="00C6272B" w:rsidRPr="00C6272B">
        <w:rPr>
          <w:rFonts w:ascii="DINPro-Light" w:hAnsi="DINPro-Light"/>
        </w:rPr>
        <w:t>A</w:t>
      </w:r>
      <w:r w:rsidRPr="00C6272B">
        <w:rPr>
          <w:rFonts w:ascii="DINPro-Light" w:hAnsi="DINPro-Light"/>
        </w:rPr>
        <w:t xml:space="preserve">bfallwirtschaftsgesetz </w:t>
      </w:r>
      <w:r w:rsidR="00C6272B" w:rsidRPr="00C6272B">
        <w:rPr>
          <w:rFonts w:ascii="DINPro-Light" w:hAnsi="DINPro-Light"/>
        </w:rPr>
        <w:t>2002</w:t>
      </w:r>
      <w:r w:rsidRPr="00C6272B">
        <w:rPr>
          <w:rFonts w:ascii="DINPro-Light" w:hAnsi="DINPro-Light"/>
        </w:rPr>
        <w:t>, den dazu erlassenen Verordnungen, dem NÖ Abfallwirtschaftsgesetz 1992 und der Abfallwirtschaftsverordnung des Gemeindeverbandes durchzuführen.</w:t>
      </w:r>
    </w:p>
    <w:p w14:paraId="066B2023" w14:textId="4FFD6AEA" w:rsidR="00E91A3A" w:rsidRPr="00F74DF3" w:rsidRDefault="001A79DD" w:rsidP="004E457C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Es gelten die jeweils kundgemachten Richtlinien für die Übernahme von Abfällen im ASZ.</w:t>
      </w:r>
    </w:p>
    <w:p w14:paraId="0C02AC3D" w14:textId="0CCFBD33" w:rsidR="003C7776" w:rsidRPr="001A79DD" w:rsidRDefault="001A79DD" w:rsidP="001A79DD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Die Übernahme von Abfällen im ASZ erfolgt grundsätzlich nur in haushaltsüblichen Mengen von Haushalten oder haushaltsähnlichen Einrichtungen. Von größeren Betrieben werden keine Abfälle übernommen.</w:t>
      </w:r>
    </w:p>
    <w:p w14:paraId="7E16733C" w14:textId="4257AB3F" w:rsidR="003C7776" w:rsidRDefault="001A79DD" w:rsidP="003C7776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 xml:space="preserve">Für bestimmte Abfälle oder bei Überschreitung der Haushaltsmenge werden Entsorgungsbeiträge eingehoben. </w:t>
      </w:r>
    </w:p>
    <w:p w14:paraId="6374F0E2" w14:textId="5C3494D6" w:rsidR="003C7776" w:rsidRDefault="001A79DD" w:rsidP="003C7776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Sämtliche angelieferten Abfälle gehen in das Eigentum des ASZ Hoheneich – Gmünd über. Unerlaubter Abtransport von Abfällen ist Diebstahl und wird zur Anzeige gebracht. Der Abtransport von gefährlichen Abfällen ist generell verboten</w:t>
      </w:r>
      <w:r w:rsidR="001C201B">
        <w:rPr>
          <w:rFonts w:ascii="DINPro-Light" w:hAnsi="DINPro-Light"/>
        </w:rPr>
        <w:t>.</w:t>
      </w:r>
    </w:p>
    <w:p w14:paraId="4670DB83" w14:textId="4BF909BA" w:rsidR="001A79DD" w:rsidRDefault="001A79DD" w:rsidP="003C7776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 xml:space="preserve">Die Anlieferung von Abfällen außerhalb der </w:t>
      </w:r>
      <w:r w:rsidR="00C6272B">
        <w:rPr>
          <w:rFonts w:ascii="DINPro-Light" w:hAnsi="DINPro-Light"/>
        </w:rPr>
        <w:t xml:space="preserve">betreuten </w:t>
      </w:r>
      <w:r>
        <w:rPr>
          <w:rFonts w:ascii="DINPro-Light" w:hAnsi="DINPro-Light"/>
        </w:rPr>
        <w:t>Öffnungszeiten ist zulässig, es bedarf dafür einer Freischaltung eine</w:t>
      </w:r>
      <w:r w:rsidR="00C6272B">
        <w:rPr>
          <w:rFonts w:ascii="DINPro-Light" w:hAnsi="DINPro-Light"/>
        </w:rPr>
        <w:t>r Berechtigungskarte für das</w:t>
      </w:r>
      <w:r>
        <w:rPr>
          <w:rFonts w:ascii="DINPro-Light" w:hAnsi="DINPro-Light"/>
        </w:rPr>
        <w:t xml:space="preserve"> elektronische Zutrittssystem am </w:t>
      </w:r>
      <w:r w:rsidR="00C6272B" w:rsidRPr="00C6272B">
        <w:rPr>
          <w:rFonts w:ascii="DINPro-Light" w:hAnsi="DINPro-Light"/>
        </w:rPr>
        <w:t xml:space="preserve">jeweiligen </w:t>
      </w:r>
      <w:r w:rsidRPr="00C6272B">
        <w:rPr>
          <w:rFonts w:ascii="DINPro-Light" w:hAnsi="DINPro-Light"/>
        </w:rPr>
        <w:t>Gemeindeamt</w:t>
      </w:r>
      <w:r w:rsidR="00C6272B">
        <w:rPr>
          <w:rFonts w:ascii="DINPro-Light" w:hAnsi="DINPro-Light"/>
        </w:rPr>
        <w:t xml:space="preserve"> der Wohnsitzgemeinde</w:t>
      </w:r>
      <w:r>
        <w:rPr>
          <w:rFonts w:ascii="DINPro-Light" w:hAnsi="DINPro-Light"/>
        </w:rPr>
        <w:t>. Das Ablagern von Abfällen vor dem ASZ bzw. im freien Gelände ist verboten.</w:t>
      </w:r>
    </w:p>
    <w:p w14:paraId="7559976E" w14:textId="4D21C8D6" w:rsidR="001A79DD" w:rsidRDefault="001A79DD" w:rsidP="003C7776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Aus Sicherheitsgründen ist das Rauchen und Hantieren mit offenem Feuer im ASZ, insbesondere in der Nähe der Problemstoffsammelstelle verboten.</w:t>
      </w:r>
    </w:p>
    <w:p w14:paraId="24229216" w14:textId="227C8492" w:rsidR="001A79DD" w:rsidRDefault="001A79DD" w:rsidP="003C7776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Von Unbefugten ist das Betreten der Problemstoffsammelstelle aus Sicherheitsgründen verboten.</w:t>
      </w:r>
    </w:p>
    <w:p w14:paraId="1DF69E9F" w14:textId="058F38C3" w:rsidR="001A79DD" w:rsidRDefault="001A79DD" w:rsidP="003C7776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Die Konsumation und das Mitbringen von alkoholischen Getränken sind verboten.</w:t>
      </w:r>
    </w:p>
    <w:p w14:paraId="21A89C1D" w14:textId="4A23FC14" w:rsidR="001A79DD" w:rsidRDefault="001A79DD" w:rsidP="003C7776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Am Gelände des ASZ gilt die StVO.</w:t>
      </w:r>
    </w:p>
    <w:p w14:paraId="618A5DE9" w14:textId="2B29C2F8" w:rsidR="001A79DD" w:rsidRPr="003C7776" w:rsidRDefault="001A79DD" w:rsidP="003C7776">
      <w:pPr>
        <w:pStyle w:val="Listenabsatz"/>
        <w:numPr>
          <w:ilvl w:val="0"/>
          <w:numId w:val="1"/>
        </w:numPr>
        <w:rPr>
          <w:rFonts w:ascii="DINPro-Light" w:hAnsi="DINPro-Light"/>
        </w:rPr>
      </w:pPr>
      <w:r>
        <w:rPr>
          <w:rFonts w:ascii="DINPro-Light" w:hAnsi="DINPro-Light"/>
        </w:rPr>
        <w:t>Das Personal steht für Informationen und Unterstützung gern zur Verfügung.</w:t>
      </w:r>
    </w:p>
    <w:p w14:paraId="72D677A6" w14:textId="28B9009C" w:rsidR="00E91A3A" w:rsidRPr="00F74DF3" w:rsidRDefault="00E91A3A" w:rsidP="00E91A3A">
      <w:pPr>
        <w:pStyle w:val="Listenabsatz"/>
        <w:rPr>
          <w:rFonts w:ascii="DINPro-Light" w:hAnsi="DINPro-Light"/>
        </w:rPr>
      </w:pPr>
    </w:p>
    <w:p w14:paraId="66F26D5A" w14:textId="34563D25" w:rsidR="008A0DB7" w:rsidRDefault="008A0DB7" w:rsidP="00F74DF3">
      <w:pPr>
        <w:pStyle w:val="Listenabsatz"/>
        <w:tabs>
          <w:tab w:val="left" w:pos="4678"/>
        </w:tabs>
        <w:spacing w:line="360" w:lineRule="auto"/>
        <w:ind w:left="0"/>
        <w:rPr>
          <w:rFonts w:ascii="DINPro-Light" w:hAnsi="DINPro-Light"/>
        </w:rPr>
      </w:pPr>
    </w:p>
    <w:p w14:paraId="2A3D5EFD" w14:textId="77777777" w:rsidR="003C7776" w:rsidRDefault="003C7776" w:rsidP="003C7776">
      <w:pPr>
        <w:pStyle w:val="Listenabsatz"/>
        <w:tabs>
          <w:tab w:val="left" w:pos="4678"/>
        </w:tabs>
        <w:spacing w:line="360" w:lineRule="auto"/>
        <w:ind w:left="0"/>
        <w:jc w:val="center"/>
        <w:rPr>
          <w:rFonts w:ascii="DINPro-Light" w:hAnsi="DINPro-Light"/>
        </w:rPr>
      </w:pPr>
      <w:r>
        <w:rPr>
          <w:rFonts w:ascii="DINPro-Light" w:hAnsi="DINPro-Light"/>
        </w:rPr>
        <w:t xml:space="preserve">Die Bürgermeisterin der Stadtgemeinde Gmünd und </w:t>
      </w:r>
    </w:p>
    <w:p w14:paraId="6B748BE1" w14:textId="340E78CF" w:rsidR="003C7776" w:rsidRPr="00F74DF3" w:rsidRDefault="003C7776" w:rsidP="003C7776">
      <w:pPr>
        <w:pStyle w:val="Listenabsatz"/>
        <w:tabs>
          <w:tab w:val="left" w:pos="4678"/>
        </w:tabs>
        <w:spacing w:line="360" w:lineRule="auto"/>
        <w:ind w:left="0"/>
        <w:jc w:val="center"/>
        <w:rPr>
          <w:rFonts w:ascii="DINPro-Light" w:hAnsi="DINPro-Light"/>
        </w:rPr>
      </w:pPr>
      <w:r>
        <w:rPr>
          <w:rFonts w:ascii="DINPro-Light" w:hAnsi="DINPro-Light"/>
        </w:rPr>
        <w:t>der Bürgermeister der Marktgemeinde Hoheneich</w:t>
      </w:r>
    </w:p>
    <w:sectPr w:rsidR="003C7776" w:rsidRPr="00F74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Light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73CD"/>
    <w:multiLevelType w:val="hybridMultilevel"/>
    <w:tmpl w:val="8918EA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3C8"/>
    <w:multiLevelType w:val="hybridMultilevel"/>
    <w:tmpl w:val="15AA5F64"/>
    <w:lvl w:ilvl="0" w:tplc="9FD41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717B5"/>
    <w:multiLevelType w:val="hybridMultilevel"/>
    <w:tmpl w:val="967802DC"/>
    <w:lvl w:ilvl="0" w:tplc="F116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EF"/>
    <w:rsid w:val="001A79DD"/>
    <w:rsid w:val="001B5615"/>
    <w:rsid w:val="001C201B"/>
    <w:rsid w:val="001E5F8F"/>
    <w:rsid w:val="001F3F5A"/>
    <w:rsid w:val="00294493"/>
    <w:rsid w:val="003C7776"/>
    <w:rsid w:val="004E457C"/>
    <w:rsid w:val="0052258E"/>
    <w:rsid w:val="00575DD0"/>
    <w:rsid w:val="00701DEB"/>
    <w:rsid w:val="00742A75"/>
    <w:rsid w:val="008A0DB7"/>
    <w:rsid w:val="008E0834"/>
    <w:rsid w:val="009453EF"/>
    <w:rsid w:val="00C6272B"/>
    <w:rsid w:val="00E2274F"/>
    <w:rsid w:val="00E91A3A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6F3F"/>
  <w15:chartTrackingRefBased/>
  <w15:docId w15:val="{A7C840A1-D9B0-4BAD-BF28-C2FF8086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Rossmanith</dc:creator>
  <cp:keywords/>
  <dc:description/>
  <cp:lastModifiedBy>Birgit Haider</cp:lastModifiedBy>
  <cp:revision>2</cp:revision>
  <dcterms:created xsi:type="dcterms:W3CDTF">2021-06-29T07:42:00Z</dcterms:created>
  <dcterms:modified xsi:type="dcterms:W3CDTF">2021-06-29T07:42:00Z</dcterms:modified>
</cp:coreProperties>
</file>